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40" w:lineRule="exact"/>
        <w:jc w:val="left"/>
        <w:rPr>
          <w:rFonts w:hint="default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spacing w:after="156" w:afterLines="50" w:line="5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江苏省课程思政示范课程建设指标（试行）</w:t>
      </w:r>
    </w:p>
    <w:tbl>
      <w:tblPr>
        <w:tblStyle w:val="4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9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1.1主讲教师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团队成员具备课程思政意识和能力，积极参与课程思政教学改革，建立课程思政集体备课和教研制度，探索课程思政建设新路径。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结合本课程在专业人才培养方案中的定位，根据课程性质、特点及授课对象等，制定明确的课程思政教学目标。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在课堂讲授、教学研讨、实验实训、考核评价等各环节，有机融入课程思政的理念和元素，做到恰当合理、不生硬。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注重挖掘和开拓与本课程紧密相关的课程思政资源，形成丰富的课程思政资源库；编写和选用高质量配套教材。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推动课程思政与现代教育技术深度融合，创新思政元素展现形式，增强课程思政的亲和力和针对性。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学生对教师师德师风评价高，学习满意度高，评教效果好。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5.课程思政特色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课程在课程思政建设方面特色亮点工作。</w:t>
            </w:r>
          </w:p>
        </w:tc>
      </w:tr>
    </w:tbl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66D7"/>
    <w:rsid w:val="05A745C0"/>
    <w:rsid w:val="219566D7"/>
    <w:rsid w:val="640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2021-01-15T01:06:00Z</dcterms:created>
  <dc:creator>大脸猫大脸猫爱吃鱼</dc:creator>
  <cp:lastModifiedBy>Admin</cp:lastModifiedBy>
  <dcterms:modified xsi:type="dcterms:W3CDTF">2021-03-04T01:13:09Z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